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  <w:t xml:space="preserve">HRVATSKI LIJE</w:t>
      </w:r>
      <w:r>
        <w:rPr>
          <w:rFonts w:ascii="TTE1EDFA20t00" w:hAnsi="TTE1EDFA20t00" w:cs="TTE1EDFA20t00" w:eastAsia="TTE1EDFA20t00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  <w:t xml:space="preserve">NI</w:t>
      </w:r>
      <w:r>
        <w:rPr>
          <w:rFonts w:ascii="TTE1EDFA20t00" w:hAnsi="TTE1EDFA20t00" w:cs="TTE1EDFA20t00" w:eastAsia="TTE1EDFA20t00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  <w:t xml:space="preserve">KI ZBOR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Hrvatsko 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štvo za dječju kirurgiju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Zagreb, svibanj 2015.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članaka 8, 9, 34 i 52. Statuta Hrvatskoga liječničkog zbora, te čl. 6, 14 i 15. Pravilnika o radu stručnog društva, Upravni odbor Hrvatskoga društva za dječju kirurgiju Hrvatskoga liječničkog zbora je temeljem pozitivnog očitovanja prihvatio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PRAVILA o natje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čaju za educiranje članova stručnog društva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Hrvatskog 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štva za dječju kirurgiju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1080" w:hanging="72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E ODREDBE</w:t>
      </w:r>
    </w:p>
    <w:p>
      <w:pPr>
        <w:spacing w:before="0" w:after="0" w:line="240"/>
        <w:ind w:right="0" w:left="108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(1) Hrvatsko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za dječju kirurgiju tijelo je Hrvatskoga liječničkog zbora (u daljnjem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tekstu: Stru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no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štvo), osnovano je radi stručnog i znanstvenog rada na području dječje kirurgije.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(2) Stru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no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djeluje u skladu s ciljevima i zadacima Hrvatskoga liječničkog zbora (u daljnjem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tekstu: HLZ-a).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U obavljanju zadataka povjerenih mu prema Statutu i Pravilniku o radu Stru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no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štvo ocjenjuje da je jedan od osnovnih zadataka Stručnog društva, trajno stručno i znanstveno usavršavanje članova sudjelovanjem na stručnim i znanstvenim skupovima, kongresima, seminarima, predavanjima i tečajevima, bilo kroz druge vidove suradnje.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Posebna se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žnja mora pridavati suradnji sa stručnim znanstvenim i nastavnim organizacijama,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U cilju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ire promocije struke,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društvo ima pravo upućivati svoje članove na usavršavanja,  sudjelovanjem prvenstveno na stručnim tečajevima, studijskim boravcima  čiji je cilj usvajanje novih znanja i metoda kojima bi unaprijedio dječju kiruršku struku u RH.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II OTVORENI NATJE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ČAJ 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društvo na svojim web stranicama objavljuje otvoreni natječaj za educiranje članova društva.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 se otvara jednom ili dva puta godišnje za odobrenje sredstava u iznosu koji će odrediti Upravni odbor za svaku godinu.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Članovi društva koji se prijavljuju na natječaj moraju zadovoljiti uvjete natječaja i posebno priložiti: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životopis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motivacijsko pismo 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pismo preporuke od nadre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đenog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Ukoliko se za pojednini natje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aj budu zahtjevali posebni kriteriji, to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e se navesti u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čaju.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KRITERIJI ZA IZBOR 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5.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Na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 se mogu prijaviti samo članovi Stručnog društva do 45 godina starosti.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Prednost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imati specijalisti kojima je od polaganja specijalističkog ispita proteklo do 5 godina i specijalizanti viših godina specijalizacije.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Odluku o pobjedniku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čaja donosi Izborno povjerenstvo.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Izborno povjerenstvo imenuje Predsjednik Hrvatskog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štva za dječju kirurgiju a čine ga Predsjednik, tri dopredsjednika Hrvatskog društva za dječju kirurgiju, te kao mogućnost predstavnik donatora. Ukoliko predstavnik donatora nije u mogućnosti biti u Izbornom povjerenstvu tada se u Izborno povjerenstvo imenuje glavni tajnik Hrvatskog društva za dječju kirurgiju.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Izbor kandidata se donosi na temelju stru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ne procjene motivacijskog pisma i drugih navednih kriterija.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Odluke se donose na sjednicama Izbornog povjerenstva koje se mogu odr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ati i telefonski.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  <w:t xml:space="preserve">III TRO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  <w:t xml:space="preserve">KOVI KOJI SE NAKNA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ĐUJU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Pobjednicima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čaja naknađuju se: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- 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škovi kotizacije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- tro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škovi smještaja i prijevoza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do visine odobrenih sredstava.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IV OBAVEZE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LANOVA STRU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ČNOG DRUŠTVA KOJIMA JE ODOBRENA STIPENDIJA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Članak 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Svaki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Stručnog društva je dužan prije odlaska na stručni tečaj popuniti putni nalog Hrvatskog liječničkog zbora.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Svaki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lan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čnog društva koji je temeljem pobjede na natječaju upućen na usavršavanje u obavezi je računima opravdati troškove iz prethodnog članka.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Svaki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lan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čnog društva koji je temeljem natječaja upućen na usavršavanje dužan je napisati izvještaj o stručnom usavršavanju i po potrebi na druge načine informirati Stručno društvo o usavršavanju koje je pohađao.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Članak 8.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 Stručnog društva može biti ponovljeno upućen na usavršavanje na teret Stručnog društva, nakon proteka 3 godine od prethodnog usavršavanja.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  <w:t xml:space="preserve">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članovima Stručnog društva koji su upućeni na usavršavanje vodi se poseban registar.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  <w:t xml:space="preserve">V. PRIJELAZNE I ZAVR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ŠNE ODREDBE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lanak 9.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Ovaj Pravilnik doniio je Upravni odbor Stru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noga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štva na temelju pozitivnog očitovanja putem elektronske pošte.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Pravila stupaju na snagu danom dono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enja.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Predsjednik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čnog društva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color w:val="auto"/>
          <w:spacing w:val="0"/>
          <w:position w:val="0"/>
          <w:sz w:val="22"/>
          <w:shd w:fill="auto" w:val="clear"/>
        </w:rPr>
      </w:pPr>
      <w:r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Zoran Bahtijarevi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